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A121" w14:textId="3618D4DD" w:rsidR="00087A85" w:rsidRPr="00B706A9" w:rsidRDefault="00197AC0" w:rsidP="00C94D86">
      <w:pPr>
        <w:jc w:val="both"/>
        <w:rPr>
          <w:rFonts w:ascii="Segoe UI" w:hAnsi="Segoe UI" w:cs="Segoe UI"/>
          <w:b/>
          <w:sz w:val="22"/>
          <w:szCs w:val="22"/>
        </w:rPr>
      </w:pPr>
      <w:r w:rsidRPr="00B706A9">
        <w:rPr>
          <w:rFonts w:ascii="Segoe UI" w:hAnsi="Segoe UI" w:cs="Segoe UI"/>
          <w:b/>
          <w:sz w:val="22"/>
          <w:szCs w:val="22"/>
        </w:rPr>
        <w:t xml:space="preserve">Regulamin postępowania przy </w:t>
      </w:r>
      <w:r w:rsidR="00EB09D2" w:rsidRPr="00B706A9">
        <w:rPr>
          <w:rFonts w:ascii="Segoe UI" w:hAnsi="Segoe UI" w:cs="Segoe UI"/>
          <w:b/>
          <w:sz w:val="22"/>
          <w:szCs w:val="22"/>
        </w:rPr>
        <w:t>zawieraniu umów najmu, dzierżawy i innych umów</w:t>
      </w:r>
      <w:r w:rsidR="00AA718F" w:rsidRPr="00B706A9">
        <w:rPr>
          <w:rFonts w:ascii="Segoe UI" w:hAnsi="Segoe UI" w:cs="Segoe UI"/>
          <w:b/>
          <w:sz w:val="22"/>
          <w:szCs w:val="22"/>
        </w:rPr>
        <w:br/>
      </w:r>
      <w:r w:rsidR="00EB09D2" w:rsidRPr="00B706A9">
        <w:rPr>
          <w:rFonts w:ascii="Segoe UI" w:hAnsi="Segoe UI" w:cs="Segoe UI"/>
          <w:b/>
          <w:sz w:val="22"/>
          <w:szCs w:val="22"/>
        </w:rPr>
        <w:t>o oddanie składnika majątkowego</w:t>
      </w:r>
      <w:r w:rsidR="000B4E43" w:rsidRPr="00B706A9">
        <w:rPr>
          <w:rFonts w:ascii="Segoe UI" w:hAnsi="Segoe UI" w:cs="Segoe UI"/>
          <w:b/>
          <w:sz w:val="22"/>
          <w:szCs w:val="22"/>
        </w:rPr>
        <w:t xml:space="preserve"> Akceleratora biznesowego KSSENON</w:t>
      </w:r>
      <w:r w:rsidR="00C94D86" w:rsidRPr="00B706A9">
        <w:rPr>
          <w:rFonts w:ascii="Segoe UI" w:hAnsi="Segoe UI" w:cs="Segoe UI"/>
          <w:b/>
          <w:sz w:val="22"/>
          <w:szCs w:val="22"/>
        </w:rPr>
        <w:br/>
      </w:r>
      <w:r w:rsidR="004478C1" w:rsidRPr="00B706A9">
        <w:rPr>
          <w:rFonts w:ascii="Segoe UI" w:hAnsi="Segoe UI" w:cs="Segoe UI"/>
          <w:b/>
          <w:sz w:val="22"/>
          <w:szCs w:val="22"/>
        </w:rPr>
        <w:t>do odpłatnego korzystani</w:t>
      </w:r>
      <w:r w:rsidR="000B4E43" w:rsidRPr="00B706A9">
        <w:rPr>
          <w:rFonts w:ascii="Segoe UI" w:hAnsi="Segoe UI" w:cs="Segoe UI"/>
          <w:b/>
          <w:sz w:val="22"/>
          <w:szCs w:val="22"/>
        </w:rPr>
        <w:t>a</w:t>
      </w:r>
      <w:r w:rsidR="004478C1" w:rsidRPr="00B706A9">
        <w:rPr>
          <w:rFonts w:ascii="Segoe UI" w:hAnsi="Segoe UI" w:cs="Segoe UI"/>
          <w:b/>
          <w:sz w:val="22"/>
          <w:szCs w:val="22"/>
        </w:rPr>
        <w:t xml:space="preserve"> innym podmiotom</w:t>
      </w:r>
      <w:r w:rsidR="0024496C" w:rsidRPr="00B706A9">
        <w:rPr>
          <w:rFonts w:ascii="Segoe UI" w:hAnsi="Segoe UI" w:cs="Segoe UI"/>
          <w:b/>
          <w:sz w:val="22"/>
          <w:szCs w:val="22"/>
        </w:rPr>
        <w:t xml:space="preserve"> zewnętrznym</w:t>
      </w:r>
      <w:r w:rsidR="004478C1" w:rsidRPr="00B706A9">
        <w:rPr>
          <w:rFonts w:ascii="Segoe UI" w:hAnsi="Segoe UI" w:cs="Segoe UI"/>
          <w:b/>
          <w:sz w:val="22"/>
          <w:szCs w:val="22"/>
        </w:rPr>
        <w:t>.</w:t>
      </w:r>
    </w:p>
    <w:p w14:paraId="08373DD1" w14:textId="77777777" w:rsidR="00087A85" w:rsidRPr="00B706A9" w:rsidRDefault="00087A85" w:rsidP="00C94D86">
      <w:pPr>
        <w:jc w:val="both"/>
        <w:rPr>
          <w:rFonts w:ascii="Segoe UI" w:hAnsi="Segoe UI" w:cs="Segoe UI"/>
          <w:b/>
          <w:sz w:val="22"/>
          <w:szCs w:val="22"/>
        </w:rPr>
      </w:pPr>
    </w:p>
    <w:p w14:paraId="05B3FBCC" w14:textId="77777777" w:rsidR="007F1E3E" w:rsidRPr="00B706A9" w:rsidRDefault="007F1E3E" w:rsidP="00C94D86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A4B31B3" w14:textId="605DB24D" w:rsidR="00087A85" w:rsidRPr="00B706A9" w:rsidRDefault="007F1E3E" w:rsidP="00C94D86">
      <w:pPr>
        <w:pStyle w:val="Tekstpodstawowy3"/>
        <w:numPr>
          <w:ilvl w:val="0"/>
          <w:numId w:val="4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B706A9">
        <w:rPr>
          <w:rFonts w:ascii="Segoe UI" w:hAnsi="Segoe UI" w:cs="Segoe UI"/>
          <w:sz w:val="22"/>
          <w:szCs w:val="22"/>
        </w:rPr>
        <w:t>POSTANOWIENIA OGÓLNE</w:t>
      </w:r>
    </w:p>
    <w:p w14:paraId="29020A20" w14:textId="1B2789FC" w:rsidR="000B4E43" w:rsidRPr="00B706A9" w:rsidRDefault="00087A85" w:rsidP="00C94D86">
      <w:pPr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1.</w:t>
      </w:r>
    </w:p>
    <w:p w14:paraId="56B63AA4" w14:textId="3DAA1214" w:rsidR="00CA4CA4" w:rsidRPr="00B706A9" w:rsidRDefault="00CA4CA4" w:rsidP="00C94D86">
      <w:pPr>
        <w:pStyle w:val="Akapitzlist"/>
        <w:numPr>
          <w:ilvl w:val="0"/>
          <w:numId w:val="4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Przedmiotem regulaminu 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jest określenie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zasad i tryb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ów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postępowania przy oddawaniu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do odpłatnego korzystania aktywów trwałych obejmujących:</w:t>
      </w:r>
    </w:p>
    <w:p w14:paraId="7C0057C6" w14:textId="5AB497BD" w:rsidR="00CA4CA4" w:rsidRPr="00B706A9" w:rsidRDefault="00991DA9" w:rsidP="00C94D86">
      <w:pPr>
        <w:pStyle w:val="Akapitzlist"/>
        <w:numPr>
          <w:ilvl w:val="0"/>
          <w:numId w:val="4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nieruchomości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z wyłączeniem hal przemysłowych, lokali biurowych, lokali usługowych udostępnianych na zasadach określonych w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 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odrębnym regulaminie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07856127" w14:textId="5A8A210A" w:rsidR="00CA4CA4" w:rsidRPr="00B706A9" w:rsidRDefault="00991DA9" w:rsidP="00C94D86">
      <w:pPr>
        <w:pStyle w:val="Akapitzlist"/>
        <w:numPr>
          <w:ilvl w:val="0"/>
          <w:numId w:val="4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pozostałe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środki trwałe</w:t>
      </w:r>
      <w:r w:rsid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27F48FFA" w14:textId="77777777" w:rsidR="00CA4CA4" w:rsidRPr="00B706A9" w:rsidRDefault="00CA4CA4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6C4440F6" w14:textId="7853EC3C" w:rsidR="00CA4CA4" w:rsidRPr="00B706A9" w:rsidRDefault="00CA4CA4" w:rsidP="00C94D86">
      <w:pPr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2.</w:t>
      </w:r>
    </w:p>
    <w:p w14:paraId="51A8758A" w14:textId="77777777" w:rsidR="00895CCF" w:rsidRPr="00B706A9" w:rsidRDefault="00357869" w:rsidP="00C94D86">
      <w:pPr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Oddanie składnika majątkowego Akceleratora biznesowego KSSENON do odpłatnego korzystania innym podmiotom następuje </w:t>
      </w:r>
      <w:r w:rsidR="00895CCF" w:rsidRPr="00B706A9">
        <w:rPr>
          <w:rFonts w:ascii="Segoe UI" w:eastAsia="Calibri" w:hAnsi="Segoe UI" w:cs="Segoe UI"/>
          <w:sz w:val="22"/>
          <w:szCs w:val="22"/>
          <w:lang w:eastAsia="en-US"/>
        </w:rPr>
        <w:t>na zasadach i w trybie określonych w:</w:t>
      </w:r>
    </w:p>
    <w:p w14:paraId="11074A18" w14:textId="7563B9E5" w:rsidR="00A819E1" w:rsidRPr="00B706A9" w:rsidRDefault="00895CCF" w:rsidP="00C94D86">
      <w:pPr>
        <w:pStyle w:val="Akapitzlist"/>
        <w:numPr>
          <w:ilvl w:val="0"/>
          <w:numId w:val="1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Statucie Katowickiej Specjalnej Strefy Ekonomicznej S.A.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2BDE871" w14:textId="2E1EDDB2" w:rsidR="00895CCF" w:rsidRPr="00B706A9" w:rsidRDefault="00991DA9" w:rsidP="00C94D86">
      <w:pPr>
        <w:pStyle w:val="Akapitzlist"/>
        <w:numPr>
          <w:ilvl w:val="0"/>
          <w:numId w:val="1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niniejszym regulaminie</w:t>
      </w:r>
      <w:r w:rsidR="00895CCF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64CF752F" w14:textId="77777777" w:rsidR="007F1E3E" w:rsidRPr="00B706A9" w:rsidRDefault="007F1E3E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51E95F4" w14:textId="7B197ADD" w:rsidR="00C32D5E" w:rsidRPr="00B706A9" w:rsidRDefault="001B231D" w:rsidP="00C94D86">
      <w:pPr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3</w:t>
      </w:r>
      <w:r w:rsidR="00C32D5E"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.</w:t>
      </w:r>
    </w:p>
    <w:p w14:paraId="08D5C46E" w14:textId="48730364" w:rsidR="007F1E3E" w:rsidRPr="00B706A9" w:rsidRDefault="007F1E3E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Ilekroć w regulaminie jest mowa o:</w:t>
      </w:r>
    </w:p>
    <w:p w14:paraId="0BDD6B88" w14:textId="7F90FA27" w:rsidR="007F1E3E" w:rsidRPr="00B706A9" w:rsidRDefault="007F1E3E" w:rsidP="00C94D86">
      <w:pPr>
        <w:pStyle w:val="Akapitzlist"/>
        <w:numPr>
          <w:ilvl w:val="0"/>
          <w:numId w:val="4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Spółce – należy przez to rozumieć Katowicką Specjalną Strefę Ekonomiczną S.A.</w:t>
      </w:r>
    </w:p>
    <w:p w14:paraId="56B50F38" w14:textId="425EBA7B" w:rsidR="00CA4CA4" w:rsidRPr="00B706A9" w:rsidRDefault="007F1E3E" w:rsidP="00C94D86">
      <w:pPr>
        <w:pStyle w:val="Akapitzlist"/>
        <w:numPr>
          <w:ilvl w:val="0"/>
          <w:numId w:val="4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Składnik</w:t>
      </w:r>
      <w:r w:rsidR="007432A3" w:rsidRPr="00B706A9">
        <w:rPr>
          <w:rFonts w:ascii="Segoe UI" w:eastAsia="Calibri" w:hAnsi="Segoe UI" w:cs="Segoe UI"/>
          <w:sz w:val="22"/>
          <w:szCs w:val="22"/>
          <w:lang w:eastAsia="en-US"/>
        </w:rPr>
        <w:t>u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majątkowy</w:t>
      </w:r>
      <w:r w:rsidR="007432A3" w:rsidRPr="00B706A9">
        <w:rPr>
          <w:rFonts w:ascii="Segoe UI" w:eastAsia="Calibri" w:hAnsi="Segoe UI" w:cs="Segoe UI"/>
          <w:sz w:val="22"/>
          <w:szCs w:val="22"/>
          <w:lang w:eastAsia="en-US"/>
        </w:rPr>
        <w:t>m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– należy przez to rozumieć,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nieruchomości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z wyłączeniem hal przemysłowych, lokali biurowych, lokali usługowych udostępnianych na zasadach określonych w odrębnym regulaminie</w:t>
      </w:r>
      <w:r w:rsid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oraz pozostałe aktywa trwałe. </w:t>
      </w:r>
    </w:p>
    <w:p w14:paraId="59A885B3" w14:textId="38168FAD" w:rsidR="00C32D5E" w:rsidRPr="00B706A9" w:rsidRDefault="00C32D5E" w:rsidP="00C94D86">
      <w:pPr>
        <w:pStyle w:val="Akapitzlist"/>
        <w:numPr>
          <w:ilvl w:val="0"/>
          <w:numId w:val="4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>artości rynkowej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przedmiotu umowy – należy przez to rozumieć</w:t>
      </w:r>
      <w:r w:rsidR="007F1E3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wartość świadczeń</w:t>
      </w:r>
      <w:r w:rsidR="00E71E26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(bez należnych podatków)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za:</w:t>
      </w:r>
    </w:p>
    <w:p w14:paraId="311DFF5E" w14:textId="04695BFE" w:rsidR="00C32D5E" w:rsidRPr="00B706A9" w:rsidRDefault="00C32D5E" w:rsidP="00C94D86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Rok – jeżeli oddanie składnika majątkowego nastąpiło na podstawie umów zawieranych na czas nieoznaczony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5CFD6177" w14:textId="3317B864" w:rsidR="007F1E3E" w:rsidRPr="00B706A9" w:rsidRDefault="00C32D5E" w:rsidP="00C94D86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Cały 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>okres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obowiązywania umowy – w przypadku umów zawieranych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na czas oznaczony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557CF97A" w14:textId="77777777" w:rsidR="00A819E1" w:rsidRPr="00B706A9" w:rsidRDefault="00A819E1" w:rsidP="00C94D86">
      <w:pPr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CF4C9D1" w14:textId="5041B354" w:rsidR="00607B49" w:rsidRPr="00B706A9" w:rsidRDefault="001B231D" w:rsidP="00C94D86">
      <w:pPr>
        <w:contextualSpacing/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4.</w:t>
      </w:r>
    </w:p>
    <w:p w14:paraId="4C389DF6" w14:textId="393A343C" w:rsidR="00AC2174" w:rsidRPr="00B706A9" w:rsidRDefault="00AC2174" w:rsidP="00C94D86">
      <w:pPr>
        <w:pStyle w:val="Akapitzlist"/>
        <w:numPr>
          <w:ilvl w:val="0"/>
          <w:numId w:val="1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Oddanie składnika majątkowego do odpłatnego korzystania wymaga zgody Zarządu </w:t>
      </w:r>
      <w:r w:rsidR="0049795D" w:rsidRPr="00B706A9">
        <w:rPr>
          <w:rFonts w:ascii="Segoe UI" w:eastAsia="Calibri" w:hAnsi="Segoe UI" w:cs="Segoe UI"/>
          <w:sz w:val="22"/>
          <w:szCs w:val="22"/>
          <w:lang w:eastAsia="en-US"/>
        </w:rPr>
        <w:t>Spółki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w przypadku gdy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spełniony jest co najmniej jeden 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warunek następujących warunków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3310B126" w14:textId="6DDA4299" w:rsidR="00AC2174" w:rsidRPr="00B706A9" w:rsidRDefault="00AC2174" w:rsidP="00C94D86">
      <w:pPr>
        <w:numPr>
          <w:ilvl w:val="0"/>
          <w:numId w:val="2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Wartość rynkowa przedmiotu umowy przekracza 50.000 zł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2268BCEC" w14:textId="60B3C94D" w:rsidR="00AC2174" w:rsidRPr="00B706A9" w:rsidRDefault="00AC2174" w:rsidP="00C94D86">
      <w:pPr>
        <w:numPr>
          <w:ilvl w:val="0"/>
          <w:numId w:val="2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Okres wypowiedzenia 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określony w umowie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przekracza 6 miesięcy bez względu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na wartość rynkową przedmiotu umowy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27247377" w14:textId="432B3F3F" w:rsidR="00AC2174" w:rsidRPr="00B706A9" w:rsidRDefault="00AC2174" w:rsidP="00C94D86">
      <w:pPr>
        <w:numPr>
          <w:ilvl w:val="0"/>
          <w:numId w:val="2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Umowa ma być zawarta na czas oznaczony dłuższy niż 12 miesięcy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bez względu na wartość rynkową przedmiotu umowy</w:t>
      </w:r>
      <w:r w:rsidR="00991DA9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FDEBC85" w14:textId="6C3E8608" w:rsidR="00CA4CA4" w:rsidRPr="00B706A9" w:rsidRDefault="00AC2174" w:rsidP="00C94D86">
      <w:pPr>
        <w:numPr>
          <w:ilvl w:val="0"/>
          <w:numId w:val="2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 oddaniem składnika majątkowego do odpłatnego korzystania związane jest rozliczenie nakładów, które zostały lub zostaną poniesione przez odpłatnego użytkownika na przedmiocie umowy bez względu na wartość rynkową 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przedmiotu umowy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. </w:t>
      </w:r>
    </w:p>
    <w:p w14:paraId="187584C6" w14:textId="3D7216E3" w:rsidR="00CA4CA4" w:rsidRPr="00B706A9" w:rsidRDefault="00CA4CA4" w:rsidP="00C94D86">
      <w:pPr>
        <w:pStyle w:val="Akapitzlist"/>
        <w:numPr>
          <w:ilvl w:val="0"/>
          <w:numId w:val="1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lastRenderedPageBreak/>
        <w:t>Oddanie składnika majątkowego do odpłatnego korzystania przeprowadza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się w trybie:</w:t>
      </w:r>
    </w:p>
    <w:p w14:paraId="6F735952" w14:textId="35A8D2CC" w:rsidR="00CA4CA4" w:rsidRPr="00B706A9" w:rsidRDefault="001F169C" w:rsidP="00C94D86">
      <w:pPr>
        <w:pStyle w:val="Akapitzlist"/>
        <w:numPr>
          <w:ilvl w:val="0"/>
          <w:numId w:val="2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negocjacji;</w:t>
      </w:r>
    </w:p>
    <w:p w14:paraId="3736A43D" w14:textId="28ABB98C" w:rsidR="00CA4CA4" w:rsidRPr="00B706A9" w:rsidRDefault="001F169C" w:rsidP="00C94D86">
      <w:pPr>
        <w:pStyle w:val="Akapitzlist"/>
        <w:numPr>
          <w:ilvl w:val="0"/>
          <w:numId w:val="2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zapytania </w:t>
      </w:r>
      <w:r w:rsidR="00CA4CA4" w:rsidRPr="00B706A9">
        <w:rPr>
          <w:rFonts w:ascii="Segoe UI" w:eastAsia="Calibri" w:hAnsi="Segoe UI" w:cs="Segoe UI"/>
          <w:sz w:val="22"/>
          <w:szCs w:val="22"/>
          <w:lang w:eastAsia="en-US"/>
        </w:rPr>
        <w:t>ofertowego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4B2ECF90" w14:textId="5EF9F6BD" w:rsidR="00CA4CA4" w:rsidRPr="00B706A9" w:rsidRDefault="001F169C" w:rsidP="00C94D86">
      <w:pPr>
        <w:pStyle w:val="Akapitzlist"/>
        <w:numPr>
          <w:ilvl w:val="0"/>
          <w:numId w:val="2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przetargu.</w:t>
      </w:r>
    </w:p>
    <w:p w14:paraId="414A6B7D" w14:textId="4145AB14" w:rsidR="00787FD7" w:rsidRPr="00B706A9" w:rsidRDefault="0056310A" w:rsidP="00C94D86">
      <w:pPr>
        <w:pStyle w:val="Akapitzlist"/>
        <w:numPr>
          <w:ilvl w:val="0"/>
          <w:numId w:val="15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 wyborze trybu oddania składnika majątkowego do odpłatnego korzystania decyduj</w:t>
      </w:r>
      <w:r w:rsidR="00C750F1" w:rsidRPr="00B706A9">
        <w:rPr>
          <w:rFonts w:ascii="Segoe UI" w:eastAsia="Calibri" w:hAnsi="Segoe UI" w:cs="Segoe UI"/>
          <w:sz w:val="22"/>
          <w:szCs w:val="22"/>
          <w:lang w:eastAsia="en-US"/>
        </w:rPr>
        <w:t>e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Zarząd KSSE S.A.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biorąc pod uwagę</w:t>
      </w:r>
      <w:r w:rsidR="00C750F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wszystkie istotne przesłanki,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C750F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 szczególności: </w:t>
      </w:r>
    </w:p>
    <w:p w14:paraId="3E0738B8" w14:textId="28C100CC" w:rsidR="00787FD7" w:rsidRPr="00B706A9" w:rsidRDefault="00C750F1" w:rsidP="00C94D86">
      <w:pPr>
        <w:pStyle w:val="Akapitzlist"/>
        <w:numPr>
          <w:ilvl w:val="0"/>
          <w:numId w:val="3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szacunkową wartość rynkową przedmiotu umowy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465D5C37" w14:textId="0F48667B" w:rsidR="00787FD7" w:rsidRPr="00B706A9" w:rsidRDefault="00C750F1" w:rsidP="00C94D86">
      <w:pPr>
        <w:pStyle w:val="Akapitzlist"/>
        <w:numPr>
          <w:ilvl w:val="0"/>
          <w:numId w:val="3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cel udostepnienia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63C39D99" w14:textId="67904463" w:rsidR="00787FD7" w:rsidRPr="00B706A9" w:rsidRDefault="00C750F1" w:rsidP="00C94D86">
      <w:pPr>
        <w:pStyle w:val="Akapitzlist"/>
        <w:numPr>
          <w:ilvl w:val="0"/>
          <w:numId w:val="3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specyfikę i atrakcyjność składnika majątkowego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34B64ABD" w14:textId="2373508C" w:rsidR="00787FD7" w:rsidRPr="00B706A9" w:rsidRDefault="00787FD7" w:rsidP="00C94D86">
      <w:pPr>
        <w:pStyle w:val="Akapitzlist"/>
        <w:numPr>
          <w:ilvl w:val="0"/>
          <w:numId w:val="3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termin rozpoczęcia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obowiązywania umowy; </w:t>
      </w:r>
    </w:p>
    <w:p w14:paraId="610E1190" w14:textId="505E01FC" w:rsidR="004220A6" w:rsidRPr="00B706A9" w:rsidRDefault="00C750F1" w:rsidP="00C94D86">
      <w:pPr>
        <w:pStyle w:val="Akapitzlist"/>
        <w:numPr>
          <w:ilvl w:val="0"/>
          <w:numId w:val="3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czas obowiązywania zawieranej umowy. </w:t>
      </w:r>
    </w:p>
    <w:p w14:paraId="5581B9A8" w14:textId="77777777" w:rsidR="004220A6" w:rsidRPr="00B706A9" w:rsidRDefault="004220A6" w:rsidP="00C94D86">
      <w:pPr>
        <w:pStyle w:val="Akapitzli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8936466" w14:textId="32B0D52D" w:rsidR="009A75A0" w:rsidRPr="00B706A9" w:rsidRDefault="009A75A0" w:rsidP="00C94D86">
      <w:pPr>
        <w:pStyle w:val="Akapitzlist"/>
        <w:numPr>
          <w:ilvl w:val="0"/>
          <w:numId w:val="44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POSTĘPOWANIE</w:t>
      </w:r>
    </w:p>
    <w:p w14:paraId="61522F8C" w14:textId="3899AFFF" w:rsidR="008021F9" w:rsidRPr="00B706A9" w:rsidRDefault="001B231D" w:rsidP="00C94D86">
      <w:pPr>
        <w:contextualSpacing/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5.</w:t>
      </w:r>
    </w:p>
    <w:p w14:paraId="6CBC545F" w14:textId="6A7E96A4" w:rsidR="004220A6" w:rsidRPr="00B706A9" w:rsidRDefault="008021F9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Przed wszczęciem procedury oddanie składnika majątkowego Akceleratora biznesowego KSSENON do odpłatnego korzystania </w:t>
      </w:r>
      <w:r w:rsidR="004B52F1" w:rsidRPr="00B706A9">
        <w:rPr>
          <w:rFonts w:ascii="Segoe UI" w:eastAsia="Calibri" w:hAnsi="Segoe UI" w:cs="Segoe UI"/>
          <w:sz w:val="22"/>
          <w:szCs w:val="22"/>
          <w:lang w:eastAsia="en-US"/>
        </w:rPr>
        <w:t>należy określić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szacunkow</w:t>
      </w:r>
      <w:r w:rsidR="004B52F1" w:rsidRPr="00B706A9">
        <w:rPr>
          <w:rFonts w:ascii="Segoe UI" w:eastAsia="Calibri" w:hAnsi="Segoe UI" w:cs="Segoe UI"/>
          <w:sz w:val="22"/>
          <w:szCs w:val="22"/>
          <w:lang w:eastAsia="en-US"/>
        </w:rPr>
        <w:t>ą wartość rynkową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przedmiotu umowy.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Określenie szacunkowej wartości dokonuje się poprzez rozeznanie rynku, zebranie ofert ze stron internetowych lub w inny dostępny sposób.</w:t>
      </w:r>
      <w:r w:rsid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4B52F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ww. </w:t>
      </w:r>
      <w:r w:rsidR="004B52F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czynności sporządza się notatkę służbową.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Dopuszcza się możliwość sporządzenia operatu szacunkowego lub opinii </w:t>
      </w:r>
      <w:r w:rsidR="0049795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przez rzeczoznawcę majątkowego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określających szacunkową wartość rynkową przedmiotu umowy. </w:t>
      </w:r>
    </w:p>
    <w:p w14:paraId="6DA0835F" w14:textId="7685B6BC" w:rsidR="008021F9" w:rsidRPr="00B706A9" w:rsidRDefault="004B52F1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Wniosek do</w:t>
      </w:r>
      <w:r w:rsidR="00787FD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Zarządu Spółki w sprawie wyboru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trybu</w:t>
      </w:r>
      <w:r w:rsidR="00787FD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oddania składnika majątkowego do odpłatnego korzystania powinien zawierać:</w:t>
      </w:r>
    </w:p>
    <w:p w14:paraId="18D377A8" w14:textId="19E5CB27" w:rsidR="00C040E6" w:rsidRPr="00B706A9" w:rsidRDefault="00C040E6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szacunkową wartość rynkową przedmiotu umowy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03A23057" w14:textId="1FAF44CD" w:rsidR="00C040E6" w:rsidRPr="00B706A9" w:rsidRDefault="00C040E6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cel udostepnienia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002537F3" w14:textId="21EF37B4" w:rsidR="00C040E6" w:rsidRPr="00B706A9" w:rsidRDefault="00C040E6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specyfikę i atrakcyjność wynajmowanego składnika majątkowego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</w:p>
    <w:p w14:paraId="2EE01D8D" w14:textId="27A92902" w:rsidR="00C040E6" w:rsidRPr="00B706A9" w:rsidRDefault="00C040E6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termin rozpoczęcia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obowiązywania umowy;</w:t>
      </w:r>
    </w:p>
    <w:p w14:paraId="66DA6D82" w14:textId="1F9703C6" w:rsidR="00C040E6" w:rsidRPr="00B706A9" w:rsidRDefault="00C040E6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czas obowiązywania zawieranej umowy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</w:p>
    <w:p w14:paraId="039572FC" w14:textId="7F7898CB" w:rsidR="00C040E6" w:rsidRPr="00B706A9" w:rsidRDefault="001F169C" w:rsidP="00C94D86">
      <w:pPr>
        <w:pStyle w:val="Akapitzlist"/>
        <w:numPr>
          <w:ilvl w:val="0"/>
          <w:numId w:val="2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proponowany </w:t>
      </w:r>
      <w:r w:rsidR="00787FD7" w:rsidRPr="00B706A9">
        <w:rPr>
          <w:rFonts w:ascii="Segoe UI" w:eastAsia="Calibri" w:hAnsi="Segoe UI" w:cs="Segoe UI"/>
          <w:sz w:val="22"/>
          <w:szCs w:val="22"/>
          <w:lang w:eastAsia="en-US"/>
        </w:rPr>
        <w:t>tryb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zawarcia umowy.</w:t>
      </w:r>
      <w:r w:rsidR="00787FD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</w:p>
    <w:p w14:paraId="002930EF" w14:textId="66E4FD0B" w:rsidR="00787FD7" w:rsidRPr="00B706A9" w:rsidRDefault="00787FD7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 przypadku </w:t>
      </w:r>
      <w:r w:rsidR="0049795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wybory przez Zarząd Spółki trybu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negocjacji</w:t>
      </w:r>
      <w:r w:rsidR="0049795D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sporz</w:t>
      </w:r>
      <w:r w:rsidR="00357A89" w:rsidRPr="00B706A9">
        <w:rPr>
          <w:rFonts w:ascii="Segoe UI" w:eastAsia="Calibri" w:hAnsi="Segoe UI" w:cs="Segoe UI"/>
          <w:sz w:val="22"/>
          <w:szCs w:val="22"/>
          <w:lang w:eastAsia="en-US"/>
        </w:rPr>
        <w:t>ądza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357A89" w:rsidRPr="00B706A9">
        <w:rPr>
          <w:rFonts w:ascii="Segoe UI" w:eastAsia="Calibri" w:hAnsi="Segoe UI" w:cs="Segoe UI"/>
          <w:sz w:val="22"/>
          <w:szCs w:val="22"/>
          <w:lang w:eastAsia="en-US"/>
        </w:rPr>
        <w:t>się protokół z negocjacji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314A9AF6" w14:textId="4234B3EB" w:rsidR="00787FD7" w:rsidRPr="00B706A9" w:rsidRDefault="00787FD7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Zapytanie ofertowe należy skierować co najmniej do 3 podmiotów</w:t>
      </w:r>
      <w:r w:rsidR="00357A89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, których działalność wpisuje się w specyfikę i cel oddania do odpłatnego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korzystania </w:t>
      </w:r>
      <w:r w:rsidR="001F169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danego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>składnika majątkowego.</w:t>
      </w:r>
    </w:p>
    <w:p w14:paraId="193169C5" w14:textId="290A75A2" w:rsidR="00357A89" w:rsidRPr="00B706A9" w:rsidRDefault="00357A89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 przeprowadza się w formach:</w:t>
      </w:r>
    </w:p>
    <w:p w14:paraId="5AC09469" w14:textId="508AAA18" w:rsidR="00357A89" w:rsidRPr="00B706A9" w:rsidRDefault="001F169C" w:rsidP="00C94D86">
      <w:pPr>
        <w:pStyle w:val="Akapitzlist"/>
        <w:numPr>
          <w:ilvl w:val="0"/>
          <w:numId w:val="3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przetargu </w:t>
      </w:r>
      <w:r w:rsidR="00500D0C" w:rsidRPr="00B706A9">
        <w:rPr>
          <w:rFonts w:ascii="Segoe UI" w:eastAsia="Calibri" w:hAnsi="Segoe UI" w:cs="Segoe UI"/>
          <w:sz w:val="22"/>
          <w:szCs w:val="22"/>
          <w:lang w:eastAsia="en-US"/>
        </w:rPr>
        <w:t>ustnego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2463E98" w14:textId="72AC286B" w:rsidR="00500D0C" w:rsidRPr="00B706A9" w:rsidRDefault="001F169C" w:rsidP="00C94D86">
      <w:pPr>
        <w:pStyle w:val="Akapitzlist"/>
        <w:numPr>
          <w:ilvl w:val="0"/>
          <w:numId w:val="3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przetargu </w:t>
      </w:r>
      <w:r w:rsidR="00500D0C" w:rsidRPr="00B706A9">
        <w:rPr>
          <w:rFonts w:ascii="Segoe UI" w:eastAsia="Calibri" w:hAnsi="Segoe UI" w:cs="Segoe UI"/>
          <w:sz w:val="22"/>
          <w:szCs w:val="22"/>
          <w:lang w:eastAsia="en-US"/>
        </w:rPr>
        <w:t>pisemnego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4180443B" w14:textId="4EDA6956" w:rsidR="00EE6C76" w:rsidRPr="00B706A9" w:rsidRDefault="00EE6C76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 może się odbyć nie wcześniej niż po upływie 14 dni od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dnia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jego ogłoszenia.</w:t>
      </w:r>
    </w:p>
    <w:p w14:paraId="278E9407" w14:textId="51977892" w:rsidR="00EE6C76" w:rsidRPr="00B706A9" w:rsidRDefault="00E05F35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Zgłoszenie jednej ważnej oferty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jest wystarczające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skutecznego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przeprowadzenia przetargu.</w:t>
      </w:r>
    </w:p>
    <w:p w14:paraId="771476A9" w14:textId="796291A9" w:rsidR="00E05F35" w:rsidRPr="00B706A9" w:rsidRDefault="00E05F35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Ogłoszenie o przetargu zamieszcza się w/na:</w:t>
      </w:r>
    </w:p>
    <w:p w14:paraId="6DDFBA9A" w14:textId="3AF961DD" w:rsidR="00E05F35" w:rsidRPr="00B706A9" w:rsidRDefault="00F0347E" w:rsidP="00C94D86">
      <w:pPr>
        <w:pStyle w:val="Akapitzlist"/>
        <w:numPr>
          <w:ilvl w:val="0"/>
          <w:numId w:val="34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stronach </w:t>
      </w:r>
      <w:r w:rsidR="00E05F35" w:rsidRPr="00B706A9">
        <w:rPr>
          <w:rFonts w:ascii="Segoe UI" w:eastAsia="Calibri" w:hAnsi="Segoe UI" w:cs="Segoe UI"/>
          <w:sz w:val="22"/>
          <w:szCs w:val="22"/>
          <w:lang w:eastAsia="en-US"/>
        </w:rPr>
        <w:t>internetowych Akceleratora biznesowego KSSENON i Spółki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0962EEA8" w14:textId="156614B5" w:rsidR="00E05F35" w:rsidRPr="00B706A9" w:rsidRDefault="0024496C" w:rsidP="00C94D86">
      <w:pPr>
        <w:pStyle w:val="Akapitzlist"/>
        <w:numPr>
          <w:ilvl w:val="0"/>
          <w:numId w:val="34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tablicach ogłoszeń</w:t>
      </w:r>
      <w:r w:rsidR="00E05F35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w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siedzibie</w:t>
      </w:r>
      <w:r w:rsidR="00E05F35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Akceleratora biznesowego </w:t>
      </w:r>
      <w:r w:rsidR="00E05F35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KSSENON i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Spółki</w:t>
      </w:r>
      <w:r w:rsidR="00E05F35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614963A5" w14:textId="390F9D74" w:rsidR="00E05F35" w:rsidRPr="00B706A9" w:rsidRDefault="00E05F35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Ogłoszenie o przetargu powinno zawierać.</w:t>
      </w:r>
    </w:p>
    <w:p w14:paraId="2EDEEBFA" w14:textId="14DD3099" w:rsidR="00E05F35" w:rsidRPr="00B706A9" w:rsidRDefault="00E05F35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</w:t>
      </w:r>
      <w:bookmarkStart w:id="0" w:name="_GoBack"/>
      <w:bookmarkEnd w:id="0"/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znaczenie firmy, siedzibę i adres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Spółki;</w:t>
      </w:r>
    </w:p>
    <w:p w14:paraId="618D3790" w14:textId="48AC9313" w:rsidR="00E05F35" w:rsidRPr="00B706A9" w:rsidRDefault="00E05F35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lastRenderedPageBreak/>
        <w:t>Oznaczenie trybu postępowania przetargowego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47B6FACD" w14:textId="4B2A629A" w:rsidR="00E05F35" w:rsidRPr="00B706A9" w:rsidRDefault="00E05F35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Określenie składnika majątkowego przeznaczonego do oddania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do odpłatnego korzystania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F42858A" w14:textId="7141BAD6" w:rsidR="00E05F35" w:rsidRPr="00B706A9" w:rsidRDefault="00E05F35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Oznaczenie terminu i mi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>ejsca przeprowadzenie przetargu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5E6E356B" w14:textId="1C0AC515" w:rsidR="00E05F35" w:rsidRPr="00B706A9" w:rsidRDefault="00E05F35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Oznaczenie terminu i miejsca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w którym moż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>na obejrzeć przedmiot przetargu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2CE9CF60" w14:textId="049E0F1D" w:rsidR="00E05F35" w:rsidRPr="00B706A9" w:rsidRDefault="00F63DB3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Wysokość wywoławczej ceny najmu/dzierżawy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/innej opłaty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 tytułu oddania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do odpłatnego korzystania ze składnika majątkowego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6B953BF3" w14:textId="4ED957AD" w:rsidR="00F63DB3" w:rsidRPr="00B706A9" w:rsidRDefault="00F63DB3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Wysokość wadium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40FB2DB3" w14:textId="40227287" w:rsidR="00F63DB3" w:rsidRPr="00B706A9" w:rsidRDefault="00F63DB3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Wysokość postąpienia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2C849B4E" w14:textId="0C736308" w:rsidR="00F63DB3" w:rsidRPr="00B706A9" w:rsidRDefault="00F63DB3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Oznaczenie terminu i sposobu wnoszenia wadium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8476105" w14:textId="7AF46A2F" w:rsidR="0024496C" w:rsidRPr="00B706A9" w:rsidRDefault="0024496C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Projekt umowy lub istotne postanowienia umowy</w:t>
      </w:r>
    </w:p>
    <w:p w14:paraId="709AF378" w14:textId="0C0860E0" w:rsidR="00F63DB3" w:rsidRPr="00B706A9" w:rsidRDefault="00F63DB3" w:rsidP="00C94D86">
      <w:pPr>
        <w:pStyle w:val="Akapitzlist"/>
        <w:numPr>
          <w:ilvl w:val="0"/>
          <w:numId w:val="36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 przypadku przetargu pisemnego – miejsce, termin i formę składania ofert oraz wskazanie okresu, w którym oferta jest wiążąca. </w:t>
      </w:r>
    </w:p>
    <w:p w14:paraId="38791C76" w14:textId="5834239F" w:rsidR="00F63DB3" w:rsidRPr="00B706A9" w:rsidRDefault="00F63DB3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 przypadku przetargu</w:t>
      </w:r>
      <w:r w:rsidR="00F0560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ustnego, uczestnik licytacji powinien posi</w:t>
      </w:r>
      <w:r w:rsidR="00FE7FEC" w:rsidRPr="00B706A9">
        <w:rPr>
          <w:rFonts w:ascii="Segoe UI" w:eastAsia="Calibri" w:hAnsi="Segoe UI" w:cs="Segoe UI"/>
          <w:sz w:val="22"/>
          <w:szCs w:val="22"/>
          <w:lang w:eastAsia="en-US"/>
        </w:rPr>
        <w:t>adać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 trakcie przeprowadzenia </w:t>
      </w:r>
      <w:r w:rsidR="00FE7FE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przetargu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ustnego </w:t>
      </w:r>
      <w:r w:rsidR="00FE7FEC" w:rsidRPr="00B706A9">
        <w:rPr>
          <w:rFonts w:ascii="Segoe UI" w:eastAsia="Calibri" w:hAnsi="Segoe UI" w:cs="Segoe UI"/>
          <w:sz w:val="22"/>
          <w:szCs w:val="22"/>
          <w:lang w:eastAsia="en-US"/>
        </w:rPr>
        <w:t>dokumenty potwierdzające jego tożsamość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FE7FE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oraz umocowanie do działania w imieniu uczestnika licytacji. </w:t>
      </w:r>
    </w:p>
    <w:p w14:paraId="54F269A7" w14:textId="2187E027" w:rsidR="00FE7FEC" w:rsidRPr="00B706A9" w:rsidRDefault="00FE7FEC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Warunkiem przystąpienia do przetargu jest wniesienia wadium 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>określonego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>w warunkach postępowania.</w:t>
      </w:r>
    </w:p>
    <w:p w14:paraId="1B4CC606" w14:textId="786FE9A2" w:rsidR="00FE7FEC" w:rsidRPr="00B706A9" w:rsidRDefault="00FE7FEC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wnosi się przelewem na rachunek bankowy wskazany w ogłoszeniu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 postępowaniu przetargowym. Datą wniesienia wadium jest data wpływu środków na rachunek bankowy Spółki. </w:t>
      </w:r>
    </w:p>
    <w:p w14:paraId="52FC74FF" w14:textId="03B6817A" w:rsidR="00FE7FEC" w:rsidRPr="00B706A9" w:rsidRDefault="00FE7FEC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Komisja przetargowa, niezwłocznie przed wyw</w:t>
      </w:r>
      <w:r w:rsidR="0024496C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ołaniem licytacji albo otwarciem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ofert sprawdza, czy oferenci wnieśli wadium w należytej wysokości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i wyznaczonym terminie. </w:t>
      </w:r>
    </w:p>
    <w:p w14:paraId="35E4AE96" w14:textId="1526192D" w:rsidR="00FE7FEC" w:rsidRPr="00B706A9" w:rsidRDefault="00FE7FEC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przepada na rzecz Spółki, jeżeli żaden z obecnych uczestników przetargu nie zaoferuje wywoławczej opłaty z tytułu oddania do odpłatnego korzystania.</w:t>
      </w:r>
    </w:p>
    <w:p w14:paraId="2BBD3850" w14:textId="4FEA4306" w:rsidR="00FE7FEC" w:rsidRPr="00B706A9" w:rsidRDefault="00FE7FEC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złożone przez oferentów, których oferty nie zostaną</w:t>
      </w:r>
      <w:r w:rsidR="008E6E96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przyjęte, zostanie zwrócone niezwłocznie po dokonaniu wyboru oferty.</w:t>
      </w:r>
    </w:p>
    <w:p w14:paraId="691A1D3C" w14:textId="63476580" w:rsidR="008E6E96" w:rsidRPr="00B706A9" w:rsidRDefault="008E6E96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złożone przez oferenta, który wygrał przetarg, zostanie zaliczone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na poczet płatności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określonych w umowie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212DF494" w14:textId="096F8BCF" w:rsidR="008E6E96" w:rsidRPr="00B706A9" w:rsidRDefault="008E6E96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przepada na rzecz Spółki, jeżeli oferent, którego oferta zostanie przyjęta, uchyli się od zawarcia umowy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na warunkach określonych w przetargu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2AD927C4" w14:textId="4C4C5DD0" w:rsidR="008E6E96" w:rsidRPr="00B706A9" w:rsidRDefault="008E6E96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Przetarg uznaje się za rozstrzygnięty z chwilą zatwierdzenia jego wyników przez Zarząd Spółki. </w:t>
      </w:r>
    </w:p>
    <w:p w14:paraId="147C6587" w14:textId="05DD3B7B" w:rsidR="00220A91" w:rsidRPr="00B706A9" w:rsidRDefault="008E6E96" w:rsidP="00C94D86">
      <w:pPr>
        <w:pStyle w:val="Akapitzlist"/>
        <w:numPr>
          <w:ilvl w:val="0"/>
          <w:numId w:val="2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Spółka może odwołać przetarg lub zmienić warunki przetargu, zamknąć przetarg bez wybrania którejkolwiek z ofert bez podania przyczyny. </w:t>
      </w:r>
    </w:p>
    <w:p w14:paraId="466794CF" w14:textId="77777777" w:rsidR="008368E3" w:rsidRPr="00B706A9" w:rsidRDefault="008368E3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0DD4511" w14:textId="0756E31A" w:rsidR="008368E3" w:rsidRPr="00B706A9" w:rsidRDefault="001B231D" w:rsidP="00C94D86">
      <w:pPr>
        <w:contextualSpacing/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6.</w:t>
      </w:r>
    </w:p>
    <w:p w14:paraId="2D862929" w14:textId="22814A70" w:rsidR="00220A91" w:rsidRPr="00B706A9" w:rsidRDefault="00220A91" w:rsidP="00C94D86">
      <w:pPr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 ustny.</w:t>
      </w:r>
    </w:p>
    <w:p w14:paraId="55117DA2" w14:textId="438AFDF6" w:rsidR="00220A91" w:rsidRPr="00B706A9" w:rsidRDefault="009A75A0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Przetarg odbywa się w drodze </w:t>
      </w:r>
      <w:r w:rsidR="00220A91" w:rsidRPr="00B706A9">
        <w:rPr>
          <w:rFonts w:ascii="Segoe UI" w:eastAsia="Calibri" w:hAnsi="Segoe UI" w:cs="Segoe UI"/>
          <w:sz w:val="22"/>
          <w:szCs w:val="22"/>
          <w:lang w:eastAsia="en-US"/>
        </w:rPr>
        <w:t>licytacji.</w:t>
      </w:r>
    </w:p>
    <w:p w14:paraId="7C52CEA4" w14:textId="450DB811" w:rsidR="00220A91" w:rsidRPr="00B706A9" w:rsidRDefault="00220A91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 otwiera przewodniczący komisji przetargowej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, który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kieruje jej pracami.</w:t>
      </w:r>
    </w:p>
    <w:p w14:paraId="281C90CE" w14:textId="434CC7FD" w:rsidR="009A75A0" w:rsidRPr="00B706A9" w:rsidRDefault="00220A91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Komisja przetargowa przed wywołaniem licytacji </w:t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>sprawdza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czy uczestnicy licytacji wnieśli wadium w sposób, w terminie i w wysokości określonych</w:t>
      </w:r>
      <w:r w:rsidR="00C94D86" w:rsidRPr="00B706A9">
        <w:rPr>
          <w:rFonts w:ascii="Segoe UI" w:eastAsia="Calibri" w:hAnsi="Segoe UI" w:cs="Segoe UI"/>
          <w:sz w:val="22"/>
          <w:szCs w:val="22"/>
          <w:lang w:eastAsia="en-US"/>
        </w:rPr>
        <w:br/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>w ogłoszeniu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 przetargu</w:t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0165C745" w14:textId="13CC5275" w:rsidR="00C20D27" w:rsidRPr="00B706A9" w:rsidRDefault="00C20D27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 licytacji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dopuszczeni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są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uczestnicy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,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którzy wnieśli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wadium w sposób, w terminie i w w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>ysokości wymaganej przez Spółkę.</w:t>
      </w:r>
    </w:p>
    <w:p w14:paraId="5FD4C7A3" w14:textId="4A217994" w:rsidR="009A75A0" w:rsidRPr="00B706A9" w:rsidRDefault="009A75A0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lastRenderedPageBreak/>
        <w:t xml:space="preserve">Do licytacji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dopuszczeni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są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>uczestnicy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, </w:t>
      </w:r>
      <w:r w:rsidR="00F0347E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którzy wnieśli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Komisji Przetargowej następujące oświadczenia:</w:t>
      </w:r>
    </w:p>
    <w:p w14:paraId="00FBA158" w14:textId="4C15D2D6" w:rsidR="009A75A0" w:rsidRPr="00B706A9" w:rsidRDefault="009A75A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stanu prawnego i faktycznego, w tym technicznego przedmiotu przetargu</w:t>
      </w:r>
      <w:r w:rsidR="00A91C53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50695A60" w14:textId="028C7ECA" w:rsidR="009A75A0" w:rsidRPr="00B706A9" w:rsidRDefault="009A75A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postanowień regulaminu</w:t>
      </w:r>
      <w:r w:rsidR="00A91C53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4BCF18F" w14:textId="779194F8" w:rsidR="009A75A0" w:rsidRPr="00B706A9" w:rsidRDefault="009A75A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z treścią ogłoszenia i projektu umowy</w:t>
      </w:r>
      <w:r w:rsidR="00A91C53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0F8BFAB5" w14:textId="1A4964F7" w:rsidR="009A75A0" w:rsidRPr="00B706A9" w:rsidRDefault="009A75A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Nieposiadaniu wymagalnych zobowiązań wobec Spółki</w:t>
      </w:r>
      <w:r w:rsidR="00A91C53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415680E7" w14:textId="77777777" w:rsidR="009A75A0" w:rsidRPr="00B706A9" w:rsidRDefault="009A75A0" w:rsidP="00C94D86">
      <w:pPr>
        <w:pStyle w:val="Akapitzli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E6A52FB" w14:textId="1F39A243" w:rsidR="00C20D27" w:rsidRPr="00B706A9" w:rsidRDefault="00C20D27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Postąpienie nie może wynosić mniej niż 1% opłaty wywoławczej.</w:t>
      </w:r>
    </w:p>
    <w:p w14:paraId="749BFCAE" w14:textId="455090D1" w:rsidR="00C20D27" w:rsidRPr="00B706A9" w:rsidRDefault="00C20D27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Zaoferowana wysokość opłaty przestaje wiązać oferenta, gdy inny oferent zaoferował wyższą wartość opłaty.</w:t>
      </w:r>
    </w:p>
    <w:p w14:paraId="0112B258" w14:textId="0B542541" w:rsidR="00C20D27" w:rsidRPr="00B706A9" w:rsidRDefault="001B231D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Po u</w:t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>staniu postąpień, prowadzący przetarg</w:t>
      </w:r>
      <w:r w:rsidR="00A91C53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="00C20D2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uprzedzając obecnych, po trzecim wywołaniu najwyższej złożonej oferty</w:t>
      </w:r>
      <w:r w:rsidR="00DF509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zamyka przetarg. </w:t>
      </w:r>
    </w:p>
    <w:p w14:paraId="4F6C0586" w14:textId="64AF4634" w:rsidR="00DF509D" w:rsidRPr="00B706A9" w:rsidRDefault="00DF509D" w:rsidP="00C94D86">
      <w:pPr>
        <w:pStyle w:val="Akapitzlist"/>
        <w:numPr>
          <w:ilvl w:val="0"/>
          <w:numId w:val="37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Przewodniczący komisji przetargowej niezwłocznie po zakończeniu licytacji sporządza protokół z jej przebiegu, który podpisują członkowie komisji przetargowej.</w:t>
      </w:r>
    </w:p>
    <w:p w14:paraId="3178D124" w14:textId="77777777" w:rsidR="00DF509D" w:rsidRPr="00B706A9" w:rsidRDefault="00DF509D" w:rsidP="00C94D86">
      <w:pPr>
        <w:pStyle w:val="Akapitzli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785EE73" w14:textId="6ACA38A2" w:rsidR="001B231D" w:rsidRPr="00B706A9" w:rsidRDefault="001B231D" w:rsidP="00C94D86">
      <w:pPr>
        <w:pStyle w:val="Akapitzlist"/>
        <w:jc w:val="center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7.</w:t>
      </w:r>
    </w:p>
    <w:p w14:paraId="3325173A" w14:textId="55CA2223" w:rsidR="00DF509D" w:rsidRPr="00B706A9" w:rsidRDefault="00DF509D" w:rsidP="00C94D86">
      <w:pPr>
        <w:pStyle w:val="Akapitzli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Przetarg pisemny.</w:t>
      </w:r>
    </w:p>
    <w:p w14:paraId="30F8D9D9" w14:textId="5BE373B6" w:rsidR="00DF509D" w:rsidRPr="00B706A9" w:rsidRDefault="00DF509D" w:rsidP="00C94D86">
      <w:pPr>
        <w:pStyle w:val="Akapitzlist"/>
        <w:numPr>
          <w:ilvl w:val="0"/>
          <w:numId w:val="3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Oferty do przetargu pisemnego składa się 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w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formie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i na warunkach określonych w ogłoszeniu. </w:t>
      </w:r>
    </w:p>
    <w:p w14:paraId="1F02C86B" w14:textId="2B5A5AE1" w:rsidR="00DF509D" w:rsidRPr="00B706A9" w:rsidRDefault="00DF509D" w:rsidP="00C94D86">
      <w:pPr>
        <w:pStyle w:val="Akapitzlist"/>
        <w:numPr>
          <w:ilvl w:val="0"/>
          <w:numId w:val="3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Oferta do przetargu pisemnego powinna zawierać:</w:t>
      </w:r>
    </w:p>
    <w:p w14:paraId="57607AF8" w14:textId="4E67A4C8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Firmę lub imię i nazwisko oraz adres oferenta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10FE386" w14:textId="792975A1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Dowód wniesienia wadium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2EC39FB" w14:textId="46928DAF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Datę sporządzenia oferty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4CDEC9EC" w14:textId="20846EEC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Określenie przedmiotu przetargu, którego oferta dotyczy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0D99CCB" w14:textId="7F525780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Oznaczenie oferowanej opłaty z tytułu oddania do odpłatnego korzystania ze składnika majątkowego Akceleratora biznesowego KSSENON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; </w:t>
      </w:r>
    </w:p>
    <w:p w14:paraId="681C9AD7" w14:textId="14F3BD0B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Oznaczenie terminu związania ofertą, przy czym termin ten nie może być krótszy niż termin podany przez Spółkę w ogłoszeniu o przetargu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70F6C16" w14:textId="32F9F38C" w:rsidR="00DF509D" w:rsidRPr="00B706A9" w:rsidRDefault="00DF509D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Oświadczenie każdego z oferentów:</w:t>
      </w:r>
    </w:p>
    <w:p w14:paraId="1841E024" w14:textId="26E0786E" w:rsidR="009E19B0" w:rsidRPr="00B706A9" w:rsidRDefault="009E19B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stanu prawnego i faktycznego, w tym technicznego przedmiotu przetargu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7FC34256" w14:textId="23555442" w:rsidR="009E19B0" w:rsidRPr="00B706A9" w:rsidRDefault="009E19B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postanowień regulaminu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53E535F" w14:textId="4F78572B" w:rsidR="009E19B0" w:rsidRPr="00B706A9" w:rsidRDefault="009E19B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z treścią ogłoszenia i projektu umowy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32A8E578" w14:textId="6840D9CE" w:rsidR="009E19B0" w:rsidRPr="00B706A9" w:rsidRDefault="009E19B0" w:rsidP="00C94D86">
      <w:pPr>
        <w:pStyle w:val="Akapitzlist"/>
        <w:numPr>
          <w:ilvl w:val="0"/>
          <w:numId w:val="4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Nieposiadaniu wymagalnych zobowiązań wobec </w:t>
      </w:r>
      <w:r w:rsidR="009A75A0" w:rsidRPr="00B706A9">
        <w:rPr>
          <w:rFonts w:ascii="Segoe UI" w:eastAsia="Calibri" w:hAnsi="Segoe UI" w:cs="Segoe UI"/>
          <w:sz w:val="22"/>
          <w:szCs w:val="22"/>
          <w:lang w:eastAsia="en-US"/>
        </w:rPr>
        <w:t>Spółki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373159D5" w14:textId="139DEFB5" w:rsidR="009E19B0" w:rsidRPr="00B706A9" w:rsidRDefault="009E19B0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Podpis oferenta lub osoby upoważnionej do składania w imieniu oferenta oświadczeń woli w zakresie praw i obowiązków majątkowych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1C226D21" w14:textId="09639534" w:rsidR="009E19B0" w:rsidRPr="00B706A9" w:rsidRDefault="009E19B0" w:rsidP="00C94D86">
      <w:pPr>
        <w:pStyle w:val="Akapitzlist"/>
        <w:numPr>
          <w:ilvl w:val="0"/>
          <w:numId w:val="39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Odpis z właściwego rejestru lub ewidencji działalności gospodarczej oraz inne dokumenty, jeżeli z wyżej wymienionych odpisów nie wynika umocowanie do podpisania oferty. </w:t>
      </w:r>
    </w:p>
    <w:p w14:paraId="0D0C9857" w14:textId="65A80611" w:rsidR="009E19B0" w:rsidRPr="00B706A9" w:rsidRDefault="009E19B0" w:rsidP="00C94D86">
      <w:pPr>
        <w:pStyle w:val="Akapitzlist"/>
        <w:numPr>
          <w:ilvl w:val="0"/>
          <w:numId w:val="3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Komisja przetargowa w przetargu pisemnym, dokonuje w obecności oferentów, otwarcia ofert oraz ustala, które z nich spełniają wymagania formalne, a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 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następnie wybiera oferenta, który zaoferował najwyższą cenę. </w:t>
      </w:r>
    </w:p>
    <w:p w14:paraId="7C2724ED" w14:textId="79FDA76B" w:rsidR="009E19B0" w:rsidRPr="00B706A9" w:rsidRDefault="009E19B0" w:rsidP="00C94D86">
      <w:pPr>
        <w:pStyle w:val="Akapitzlist"/>
        <w:numPr>
          <w:ilvl w:val="0"/>
          <w:numId w:val="3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 razie ustalenia, że kilku oferentów zaoferowało w przetargu opłaty, których różnica nie przekracza 1%, komisja przetargowa może kontynuować przetarg w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 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formie licytacji</w:t>
      </w:r>
      <w:r w:rsidR="007C5AB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 których mowa w § 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>5.</w:t>
      </w:r>
    </w:p>
    <w:p w14:paraId="7DF033BB" w14:textId="78CB743E" w:rsidR="007C5ABD" w:rsidRPr="00B706A9" w:rsidRDefault="007C5ABD" w:rsidP="00C94D86">
      <w:pPr>
        <w:pStyle w:val="Akapitzlist"/>
        <w:numPr>
          <w:ilvl w:val="0"/>
          <w:numId w:val="38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 przetargu pisemnego przewodniczący komisji przetargowej sporządza protokół. </w:t>
      </w:r>
    </w:p>
    <w:p w14:paraId="3788881A" w14:textId="77777777" w:rsidR="009E19B0" w:rsidRPr="00B706A9" w:rsidRDefault="009E19B0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F88177D" w14:textId="72734358" w:rsidR="00DF509D" w:rsidRPr="00B706A9" w:rsidRDefault="007C5ABD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ZAWARCIE UMOWY</w:t>
      </w:r>
    </w:p>
    <w:p w14:paraId="6DD07DB4" w14:textId="4BD6F366" w:rsidR="007C5ABD" w:rsidRPr="00B706A9" w:rsidRDefault="001B231D" w:rsidP="00C94D86">
      <w:pPr>
        <w:jc w:val="center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b/>
          <w:sz w:val="22"/>
          <w:szCs w:val="22"/>
          <w:lang w:eastAsia="en-US"/>
        </w:rPr>
        <w:t>§ 8.</w:t>
      </w:r>
    </w:p>
    <w:p w14:paraId="1224C28A" w14:textId="130CADA2" w:rsidR="00E71E26" w:rsidRPr="00B706A9" w:rsidRDefault="00E71E26" w:rsidP="00C94D86">
      <w:pPr>
        <w:ind w:left="708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 zależności od przedmiotu dzierżawy lub umowy Zarząd może ustalić w</w:t>
      </w:r>
      <w:r w:rsidR="00FF6C17" w:rsidRPr="00B706A9">
        <w:rPr>
          <w:rFonts w:ascii="Segoe UI" w:eastAsia="Calibri" w:hAnsi="Segoe UI" w:cs="Segoe UI"/>
          <w:sz w:val="22"/>
          <w:szCs w:val="22"/>
          <w:lang w:eastAsia="en-US"/>
        </w:rPr>
        <w:t> 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warunkach postępowania, że:</w:t>
      </w:r>
    </w:p>
    <w:p w14:paraId="48F271A1" w14:textId="4468106D" w:rsidR="007C5ABD" w:rsidRPr="00B706A9" w:rsidRDefault="00591662" w:rsidP="00C94D86">
      <w:pPr>
        <w:pStyle w:val="Akapitzlist"/>
        <w:numPr>
          <w:ilvl w:val="0"/>
          <w:numId w:val="4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Podmiotu wybrany do zawarcia umowy w jednym z trybów, o których mowa w § 4 ust. 2,</w:t>
      </w:r>
      <w:r w:rsidR="007C5AB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przed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przystąpieniem do zawarcia </w:t>
      </w:r>
      <w:r w:rsidR="007C5ABD" w:rsidRPr="00B706A9">
        <w:rPr>
          <w:rFonts w:ascii="Segoe UI" w:eastAsia="Calibri" w:hAnsi="Segoe UI" w:cs="Segoe UI"/>
          <w:sz w:val="22"/>
          <w:szCs w:val="22"/>
          <w:lang w:eastAsia="en-US"/>
        </w:rPr>
        <w:t>umowy jest zobowiąza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ny zapłacić kaucję w wysokości </w:t>
      </w:r>
      <w:r w:rsidR="00E71E26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do 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>2</w:t>
      </w:r>
      <w:r w:rsidR="007C5AB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00% miesięcznego czynszu netto. Za zapłatę ww. kwoty rozumie się wpływ środków na rachunek bankowy Spółki. </w:t>
      </w:r>
    </w:p>
    <w:p w14:paraId="308A67D0" w14:textId="674AEDAD" w:rsidR="005440E1" w:rsidRPr="00B706A9" w:rsidRDefault="0049795D" w:rsidP="00C94D86">
      <w:pPr>
        <w:pStyle w:val="Akapitzlist"/>
        <w:numPr>
          <w:ilvl w:val="0"/>
          <w:numId w:val="4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Kaucja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o której mowa w ust. 1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>,</w:t>
      </w:r>
      <w:r w:rsidR="005440E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stanowi zabezpieczenie płatności wynikających z umowy, a także jest przeznaczona na pokrycie szkód powstałych w przedmiocie umowy z przyc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>zyn leżących po stronie najemcy/</w:t>
      </w:r>
      <w:r w:rsidR="005440E1" w:rsidRPr="00B706A9">
        <w:rPr>
          <w:rFonts w:ascii="Segoe UI" w:eastAsia="Calibri" w:hAnsi="Segoe UI" w:cs="Segoe UI"/>
          <w:sz w:val="22"/>
          <w:szCs w:val="22"/>
          <w:lang w:eastAsia="en-US"/>
        </w:rPr>
        <w:t>dzierżawcy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>/podmiotu użytkującego składnik majątkowy na podstawie innej umowy</w:t>
      </w:r>
      <w:r w:rsidR="005440E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lub należności z tytułu bezumownego korzystania z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  </w:t>
      </w:r>
      <w:r w:rsidR="005440E1" w:rsidRPr="00B706A9">
        <w:rPr>
          <w:rFonts w:ascii="Segoe UI" w:eastAsia="Calibri" w:hAnsi="Segoe UI" w:cs="Segoe UI"/>
          <w:sz w:val="22"/>
          <w:szCs w:val="22"/>
          <w:lang w:eastAsia="en-US"/>
        </w:rPr>
        <w:t>przedmiotu umowy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>, bo jej wygaśnięciu lub rozwiązaniu</w:t>
      </w:r>
      <w:r w:rsidR="005440E1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. </w:t>
      </w:r>
    </w:p>
    <w:p w14:paraId="7D42C660" w14:textId="30020286" w:rsidR="005440E1" w:rsidRPr="00B706A9" w:rsidRDefault="005440E1" w:rsidP="00C94D86">
      <w:pPr>
        <w:pStyle w:val="Akapitzlist"/>
        <w:numPr>
          <w:ilvl w:val="0"/>
          <w:numId w:val="4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Wydanie najemcy/dzierżawcy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>/podmiotowi użytkującemu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591662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składnik majątkowy na podstawie innej umowy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>przedmiotu umowy następuje na podstawie protokołu zdawczo-odbiorczego.</w:t>
      </w:r>
    </w:p>
    <w:p w14:paraId="1E457A56" w14:textId="2DDD78BC" w:rsidR="005440E1" w:rsidRPr="00B706A9" w:rsidRDefault="00591662" w:rsidP="00C94D86">
      <w:pPr>
        <w:pStyle w:val="Akapitzlist"/>
        <w:numPr>
          <w:ilvl w:val="0"/>
          <w:numId w:val="43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U</w:t>
      </w:r>
      <w:r w:rsidR="001B231D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mowę </w:t>
      </w:r>
      <w:r w:rsidR="0049795D" w:rsidRPr="00B706A9">
        <w:rPr>
          <w:rFonts w:ascii="Segoe UI" w:hAnsi="Segoe UI" w:cs="Segoe UI"/>
          <w:sz w:val="22"/>
          <w:szCs w:val="22"/>
        </w:rPr>
        <w:t>najmu, dzierżawy lub inną umowę</w:t>
      </w:r>
      <w:r w:rsidR="001B231D" w:rsidRPr="00B706A9">
        <w:rPr>
          <w:rFonts w:ascii="Segoe UI" w:hAnsi="Segoe UI" w:cs="Segoe UI"/>
          <w:sz w:val="22"/>
          <w:szCs w:val="22"/>
        </w:rPr>
        <w:t xml:space="preserve"> o oddanie składnika majątkowego Akceleratora biznesowego KSSENON do odpłatnego korzystania innym podmiotom</w:t>
      </w:r>
      <w:r w:rsidRPr="00B706A9">
        <w:rPr>
          <w:rFonts w:ascii="Segoe UI" w:hAnsi="Segoe UI" w:cs="Segoe UI"/>
          <w:sz w:val="22"/>
          <w:szCs w:val="22"/>
        </w:rPr>
        <w:t>,</w:t>
      </w:r>
      <w:r w:rsidR="0049795D" w:rsidRPr="00B706A9">
        <w:rPr>
          <w:rFonts w:ascii="Segoe UI" w:hAnsi="Segoe UI" w:cs="Segoe UI"/>
          <w:sz w:val="22"/>
          <w:szCs w:val="22"/>
        </w:rPr>
        <w:t xml:space="preserve"> </w:t>
      </w:r>
      <w:r w:rsidRPr="00B706A9">
        <w:rPr>
          <w:rFonts w:ascii="Segoe UI" w:hAnsi="Segoe UI" w:cs="Segoe UI"/>
          <w:sz w:val="22"/>
          <w:szCs w:val="22"/>
        </w:rPr>
        <w:t xml:space="preserve">zawierają w imieniu Spółki </w:t>
      </w:r>
      <w:r w:rsidR="0049795D" w:rsidRPr="00B706A9">
        <w:rPr>
          <w:rFonts w:ascii="Segoe UI" w:hAnsi="Segoe UI" w:cs="Segoe UI"/>
          <w:sz w:val="22"/>
          <w:szCs w:val="22"/>
        </w:rPr>
        <w:t>Członkowie</w:t>
      </w:r>
      <w:r w:rsidRPr="00B706A9">
        <w:rPr>
          <w:rFonts w:ascii="Segoe UI" w:hAnsi="Segoe UI" w:cs="Segoe UI"/>
          <w:sz w:val="22"/>
          <w:szCs w:val="22"/>
        </w:rPr>
        <w:t xml:space="preserve"> jej</w:t>
      </w:r>
      <w:r w:rsidR="0049795D" w:rsidRPr="00B706A9">
        <w:rPr>
          <w:rFonts w:ascii="Segoe UI" w:hAnsi="Segoe UI" w:cs="Segoe UI"/>
          <w:sz w:val="22"/>
          <w:szCs w:val="22"/>
        </w:rPr>
        <w:t xml:space="preserve"> Zarządu</w:t>
      </w:r>
      <w:r w:rsidRPr="00B706A9">
        <w:rPr>
          <w:rFonts w:ascii="Segoe UI" w:hAnsi="Segoe UI" w:cs="Segoe UI"/>
          <w:sz w:val="22"/>
          <w:szCs w:val="22"/>
        </w:rPr>
        <w:t>,</w:t>
      </w:r>
      <w:r w:rsidR="0049795D" w:rsidRPr="00B706A9">
        <w:rPr>
          <w:rFonts w:ascii="Segoe UI" w:hAnsi="Segoe UI" w:cs="Segoe UI"/>
          <w:sz w:val="22"/>
          <w:szCs w:val="22"/>
        </w:rPr>
        <w:t xml:space="preserve"> zgodnie z zasadami reprezentacji. </w:t>
      </w:r>
      <w:r w:rsidR="007432A3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Zarząd KSSE S.A. może powierzyć uprawnienia związane z zawarciem umowy Dyrektorowi Akceleratora biznesowego KSSENON lub 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samodzielnie </w:t>
      </w:r>
      <w:r w:rsidR="007432A3" w:rsidRPr="00B706A9">
        <w:rPr>
          <w:rFonts w:ascii="Segoe UI" w:eastAsia="Calibri" w:hAnsi="Segoe UI" w:cs="Segoe UI"/>
          <w:sz w:val="22"/>
          <w:szCs w:val="22"/>
          <w:lang w:eastAsia="en-US"/>
        </w:rPr>
        <w:t>Wiceprezesowi KSSE S.A. odpowiedzialnemu</w:t>
      </w:r>
      <w:r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7432A3" w:rsidRPr="00B706A9">
        <w:rPr>
          <w:rFonts w:ascii="Segoe UI" w:eastAsia="Calibri" w:hAnsi="Segoe UI" w:cs="Segoe UI"/>
          <w:sz w:val="22"/>
          <w:szCs w:val="22"/>
          <w:lang w:eastAsia="en-US"/>
        </w:rPr>
        <w:t xml:space="preserve">za nadzór nad Akceleratorem. </w:t>
      </w:r>
    </w:p>
    <w:p w14:paraId="2896CEEC" w14:textId="77777777" w:rsidR="00DF509D" w:rsidRPr="00B706A9" w:rsidRDefault="00DF509D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6CE6985F" w14:textId="77777777" w:rsidR="00C20D27" w:rsidRPr="00B706A9" w:rsidRDefault="00C20D27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0074C8F" w14:textId="77777777" w:rsidR="00C20D27" w:rsidRPr="00B706A9" w:rsidRDefault="00C20D27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310CBBD" w14:textId="77777777" w:rsidR="00C20D27" w:rsidRPr="00B706A9" w:rsidRDefault="00C20D27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664D792" w14:textId="77777777" w:rsidR="00C20D27" w:rsidRPr="00B706A9" w:rsidRDefault="00C20D27" w:rsidP="00C94D86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45F04C7" w14:textId="77777777" w:rsidR="002A7FB6" w:rsidRPr="00B706A9" w:rsidRDefault="009721FC" w:rsidP="00C94D86">
      <w:pPr>
        <w:jc w:val="both"/>
        <w:rPr>
          <w:sz w:val="22"/>
          <w:szCs w:val="22"/>
        </w:rPr>
      </w:pPr>
    </w:p>
    <w:sectPr w:rsidR="002A7FB6" w:rsidRPr="00B706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F9A8" w14:textId="77777777" w:rsidR="009721FC" w:rsidRDefault="009721FC" w:rsidP="007432A3">
      <w:r>
        <w:separator/>
      </w:r>
    </w:p>
  </w:endnote>
  <w:endnote w:type="continuationSeparator" w:id="0">
    <w:p w14:paraId="757CE359" w14:textId="77777777" w:rsidR="009721FC" w:rsidRDefault="009721FC" w:rsidP="007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17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B86FA6" w14:textId="3A1996A2" w:rsidR="007432A3" w:rsidRDefault="007432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A9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E639009" w14:textId="77777777" w:rsidR="007432A3" w:rsidRDefault="00743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5046" w14:textId="77777777" w:rsidR="009721FC" w:rsidRDefault="009721FC" w:rsidP="007432A3">
      <w:r>
        <w:separator/>
      </w:r>
    </w:p>
  </w:footnote>
  <w:footnote w:type="continuationSeparator" w:id="0">
    <w:p w14:paraId="3AC45199" w14:textId="77777777" w:rsidR="009721FC" w:rsidRDefault="009721FC" w:rsidP="007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EB6"/>
    <w:multiLevelType w:val="hybridMultilevel"/>
    <w:tmpl w:val="A24A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9CB"/>
    <w:multiLevelType w:val="hybridMultilevel"/>
    <w:tmpl w:val="C68C7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D75B0"/>
    <w:multiLevelType w:val="hybridMultilevel"/>
    <w:tmpl w:val="7AE41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5667B"/>
    <w:multiLevelType w:val="hybridMultilevel"/>
    <w:tmpl w:val="7EF05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74C60"/>
    <w:multiLevelType w:val="hybridMultilevel"/>
    <w:tmpl w:val="6DA85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C6A56"/>
    <w:multiLevelType w:val="hybridMultilevel"/>
    <w:tmpl w:val="481A8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403B0"/>
    <w:multiLevelType w:val="hybridMultilevel"/>
    <w:tmpl w:val="2072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DCC"/>
    <w:multiLevelType w:val="hybridMultilevel"/>
    <w:tmpl w:val="183AD32A"/>
    <w:lvl w:ilvl="0" w:tplc="11F2B75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5C73"/>
    <w:multiLevelType w:val="hybridMultilevel"/>
    <w:tmpl w:val="EB9E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45DD"/>
    <w:multiLevelType w:val="hybridMultilevel"/>
    <w:tmpl w:val="FDE4CB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C4E6D"/>
    <w:multiLevelType w:val="hybridMultilevel"/>
    <w:tmpl w:val="F97CAA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3E0CCF"/>
    <w:multiLevelType w:val="hybridMultilevel"/>
    <w:tmpl w:val="9064F9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0C97"/>
    <w:multiLevelType w:val="hybridMultilevel"/>
    <w:tmpl w:val="4ED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D71D7"/>
    <w:multiLevelType w:val="hybridMultilevel"/>
    <w:tmpl w:val="C9DC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67BEC"/>
    <w:multiLevelType w:val="hybridMultilevel"/>
    <w:tmpl w:val="C9486A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C819CA"/>
    <w:multiLevelType w:val="hybridMultilevel"/>
    <w:tmpl w:val="22A0A7AE"/>
    <w:lvl w:ilvl="0" w:tplc="EC5E549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E3978"/>
    <w:multiLevelType w:val="hybridMultilevel"/>
    <w:tmpl w:val="D7FC8A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407045"/>
    <w:multiLevelType w:val="hybridMultilevel"/>
    <w:tmpl w:val="AC4EC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736AA4"/>
    <w:multiLevelType w:val="hybridMultilevel"/>
    <w:tmpl w:val="A6A6A9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9B80AE6"/>
    <w:multiLevelType w:val="hybridMultilevel"/>
    <w:tmpl w:val="B044BE16"/>
    <w:lvl w:ilvl="0" w:tplc="2EC6B1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61B84"/>
    <w:multiLevelType w:val="hybridMultilevel"/>
    <w:tmpl w:val="99E0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443F38"/>
    <w:multiLevelType w:val="hybridMultilevel"/>
    <w:tmpl w:val="233AB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8361F"/>
    <w:multiLevelType w:val="hybridMultilevel"/>
    <w:tmpl w:val="6E786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3654CE"/>
    <w:multiLevelType w:val="hybridMultilevel"/>
    <w:tmpl w:val="8F902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63B14"/>
    <w:multiLevelType w:val="hybridMultilevel"/>
    <w:tmpl w:val="237E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55F26"/>
    <w:multiLevelType w:val="hybridMultilevel"/>
    <w:tmpl w:val="FB14B27A"/>
    <w:lvl w:ilvl="0" w:tplc="0D84FB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65FEF"/>
    <w:multiLevelType w:val="hybridMultilevel"/>
    <w:tmpl w:val="210E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1632D"/>
    <w:multiLevelType w:val="hybridMultilevel"/>
    <w:tmpl w:val="8B84DC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2642"/>
    <w:multiLevelType w:val="hybridMultilevel"/>
    <w:tmpl w:val="E0FCB4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7841C9"/>
    <w:multiLevelType w:val="hybridMultilevel"/>
    <w:tmpl w:val="DFAA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52CD4"/>
    <w:multiLevelType w:val="hybridMultilevel"/>
    <w:tmpl w:val="F6A0F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91295"/>
    <w:multiLevelType w:val="hybridMultilevel"/>
    <w:tmpl w:val="10BC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56026"/>
    <w:multiLevelType w:val="hybridMultilevel"/>
    <w:tmpl w:val="CB065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3F4B"/>
    <w:multiLevelType w:val="hybridMultilevel"/>
    <w:tmpl w:val="9E4C4C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894D18"/>
    <w:multiLevelType w:val="hybridMultilevel"/>
    <w:tmpl w:val="B7024754"/>
    <w:lvl w:ilvl="0" w:tplc="52FE5B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C6954"/>
    <w:multiLevelType w:val="hybridMultilevel"/>
    <w:tmpl w:val="223A4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9F41AC"/>
    <w:multiLevelType w:val="hybridMultilevel"/>
    <w:tmpl w:val="545A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35842"/>
    <w:multiLevelType w:val="hybridMultilevel"/>
    <w:tmpl w:val="5B1A8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B202BE"/>
    <w:multiLevelType w:val="hybridMultilevel"/>
    <w:tmpl w:val="B468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B7EA2"/>
    <w:multiLevelType w:val="hybridMultilevel"/>
    <w:tmpl w:val="A7CCA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803B3A"/>
    <w:multiLevelType w:val="hybridMultilevel"/>
    <w:tmpl w:val="D85E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C3499"/>
    <w:multiLevelType w:val="hybridMultilevel"/>
    <w:tmpl w:val="0B646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C1A3D"/>
    <w:multiLevelType w:val="hybridMultilevel"/>
    <w:tmpl w:val="C074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A3C15"/>
    <w:multiLevelType w:val="hybridMultilevel"/>
    <w:tmpl w:val="488EF1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E45456"/>
    <w:multiLevelType w:val="hybridMultilevel"/>
    <w:tmpl w:val="4C26AB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36"/>
  </w:num>
  <w:num w:numId="5">
    <w:abstractNumId w:val="20"/>
  </w:num>
  <w:num w:numId="6">
    <w:abstractNumId w:val="27"/>
  </w:num>
  <w:num w:numId="7">
    <w:abstractNumId w:val="7"/>
  </w:num>
  <w:num w:numId="8">
    <w:abstractNumId w:val="44"/>
  </w:num>
  <w:num w:numId="9">
    <w:abstractNumId w:val="1"/>
  </w:num>
  <w:num w:numId="10">
    <w:abstractNumId w:val="29"/>
  </w:num>
  <w:num w:numId="11">
    <w:abstractNumId w:val="16"/>
  </w:num>
  <w:num w:numId="12">
    <w:abstractNumId w:val="23"/>
  </w:num>
  <w:num w:numId="13">
    <w:abstractNumId w:val="19"/>
  </w:num>
  <w:num w:numId="14">
    <w:abstractNumId w:val="31"/>
  </w:num>
  <w:num w:numId="15">
    <w:abstractNumId w:val="21"/>
  </w:num>
  <w:num w:numId="16">
    <w:abstractNumId w:val="43"/>
  </w:num>
  <w:num w:numId="17">
    <w:abstractNumId w:val="39"/>
  </w:num>
  <w:num w:numId="18">
    <w:abstractNumId w:val="41"/>
  </w:num>
  <w:num w:numId="19">
    <w:abstractNumId w:val="32"/>
  </w:num>
  <w:num w:numId="20">
    <w:abstractNumId w:val="10"/>
  </w:num>
  <w:num w:numId="21">
    <w:abstractNumId w:val="15"/>
  </w:num>
  <w:num w:numId="22">
    <w:abstractNumId w:val="4"/>
  </w:num>
  <w:num w:numId="23">
    <w:abstractNumId w:val="33"/>
  </w:num>
  <w:num w:numId="24">
    <w:abstractNumId w:val="34"/>
  </w:num>
  <w:num w:numId="25">
    <w:abstractNumId w:val="28"/>
  </w:num>
  <w:num w:numId="26">
    <w:abstractNumId w:val="9"/>
  </w:num>
  <w:num w:numId="27">
    <w:abstractNumId w:val="25"/>
  </w:num>
  <w:num w:numId="28">
    <w:abstractNumId w:val="8"/>
  </w:num>
  <w:num w:numId="29">
    <w:abstractNumId w:val="5"/>
  </w:num>
  <w:num w:numId="30">
    <w:abstractNumId w:val="40"/>
  </w:num>
  <w:num w:numId="31">
    <w:abstractNumId w:val="3"/>
  </w:num>
  <w:num w:numId="32">
    <w:abstractNumId w:val="30"/>
  </w:num>
  <w:num w:numId="33">
    <w:abstractNumId w:val="0"/>
  </w:num>
  <w:num w:numId="34">
    <w:abstractNumId w:val="45"/>
  </w:num>
  <w:num w:numId="35">
    <w:abstractNumId w:val="12"/>
  </w:num>
  <w:num w:numId="36">
    <w:abstractNumId w:val="2"/>
  </w:num>
  <w:num w:numId="37">
    <w:abstractNumId w:val="14"/>
  </w:num>
  <w:num w:numId="38">
    <w:abstractNumId w:val="6"/>
  </w:num>
  <w:num w:numId="39">
    <w:abstractNumId w:val="24"/>
  </w:num>
  <w:num w:numId="40">
    <w:abstractNumId w:val="18"/>
  </w:num>
  <w:num w:numId="41">
    <w:abstractNumId w:val="46"/>
  </w:num>
  <w:num w:numId="42">
    <w:abstractNumId w:val="35"/>
  </w:num>
  <w:num w:numId="43">
    <w:abstractNumId w:val="17"/>
  </w:num>
  <w:num w:numId="44">
    <w:abstractNumId w:val="11"/>
  </w:num>
  <w:num w:numId="45">
    <w:abstractNumId w:val="26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3"/>
    <w:rsid w:val="00087A85"/>
    <w:rsid w:val="000B327D"/>
    <w:rsid w:val="000B4E43"/>
    <w:rsid w:val="00102968"/>
    <w:rsid w:val="00197AC0"/>
    <w:rsid w:val="001A64E6"/>
    <w:rsid w:val="001B231D"/>
    <w:rsid w:val="001C04C9"/>
    <w:rsid w:val="001F169C"/>
    <w:rsid w:val="002151C1"/>
    <w:rsid w:val="00220A91"/>
    <w:rsid w:val="00230622"/>
    <w:rsid w:val="00237B9A"/>
    <w:rsid w:val="0024496C"/>
    <w:rsid w:val="002574BD"/>
    <w:rsid w:val="002F4A49"/>
    <w:rsid w:val="003013C3"/>
    <w:rsid w:val="003257BC"/>
    <w:rsid w:val="00332A9E"/>
    <w:rsid w:val="00345874"/>
    <w:rsid w:val="00350CFF"/>
    <w:rsid w:val="00357869"/>
    <w:rsid w:val="00357A89"/>
    <w:rsid w:val="003A6A46"/>
    <w:rsid w:val="003D5B3C"/>
    <w:rsid w:val="004220A6"/>
    <w:rsid w:val="0043290C"/>
    <w:rsid w:val="004478C1"/>
    <w:rsid w:val="0049795D"/>
    <w:rsid w:val="004B52F1"/>
    <w:rsid w:val="00500D0C"/>
    <w:rsid w:val="005440E1"/>
    <w:rsid w:val="0056310A"/>
    <w:rsid w:val="00567757"/>
    <w:rsid w:val="00571E2D"/>
    <w:rsid w:val="00591662"/>
    <w:rsid w:val="005B2753"/>
    <w:rsid w:val="005B5626"/>
    <w:rsid w:val="00607B49"/>
    <w:rsid w:val="007432A3"/>
    <w:rsid w:val="00745AA4"/>
    <w:rsid w:val="00762080"/>
    <w:rsid w:val="00787FD7"/>
    <w:rsid w:val="007C5ABD"/>
    <w:rsid w:val="007E475A"/>
    <w:rsid w:val="007F1E3E"/>
    <w:rsid w:val="008021F9"/>
    <w:rsid w:val="008368E3"/>
    <w:rsid w:val="00895CCF"/>
    <w:rsid w:val="008E1EA9"/>
    <w:rsid w:val="008E6E96"/>
    <w:rsid w:val="008F0CFA"/>
    <w:rsid w:val="009133D8"/>
    <w:rsid w:val="0092023F"/>
    <w:rsid w:val="009721FC"/>
    <w:rsid w:val="00991DA9"/>
    <w:rsid w:val="009A75A0"/>
    <w:rsid w:val="009E19B0"/>
    <w:rsid w:val="00A03D24"/>
    <w:rsid w:val="00A819E1"/>
    <w:rsid w:val="00A91C53"/>
    <w:rsid w:val="00AA718F"/>
    <w:rsid w:val="00AC2174"/>
    <w:rsid w:val="00AC2A3D"/>
    <w:rsid w:val="00B36700"/>
    <w:rsid w:val="00B706A9"/>
    <w:rsid w:val="00C040E6"/>
    <w:rsid w:val="00C20D27"/>
    <w:rsid w:val="00C32D5E"/>
    <w:rsid w:val="00C750F1"/>
    <w:rsid w:val="00C94D86"/>
    <w:rsid w:val="00CA4CA4"/>
    <w:rsid w:val="00D204AE"/>
    <w:rsid w:val="00D366C4"/>
    <w:rsid w:val="00D7666D"/>
    <w:rsid w:val="00DF509D"/>
    <w:rsid w:val="00E05F35"/>
    <w:rsid w:val="00E162AD"/>
    <w:rsid w:val="00E71E26"/>
    <w:rsid w:val="00EB09D2"/>
    <w:rsid w:val="00EE6C76"/>
    <w:rsid w:val="00EE7178"/>
    <w:rsid w:val="00F0347E"/>
    <w:rsid w:val="00F05601"/>
    <w:rsid w:val="00F63DB3"/>
    <w:rsid w:val="00F94A8D"/>
    <w:rsid w:val="00FE7FEC"/>
    <w:rsid w:val="00FF39D8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5DD"/>
  <w15:chartTrackingRefBased/>
  <w15:docId w15:val="{6BD144F9-BFD1-48AA-92DE-0952EBE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87A8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A8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95C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A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3" ma:contentTypeDescription="Utwórz nowy dokument." ma:contentTypeScope="" ma:versionID="dc49bcd98f20ba3050d9b56e1a006a40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c369078ea01f0c5cfe6e36da968ae40e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C668-F41A-4B77-AFF7-B84ED8D6E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645C5-BFF2-404A-9DF3-03879336F26F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3.xml><?xml version="1.0" encoding="utf-8"?>
<ds:datastoreItem xmlns:ds="http://schemas.openxmlformats.org/officeDocument/2006/customXml" ds:itemID="{F43BDA6E-2CB1-4760-82E9-4B5A5468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E1881-48E7-4F84-BF7C-1493A86B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Marcin</dc:creator>
  <cp:keywords/>
  <dc:description/>
  <cp:lastModifiedBy>Konto Microsoft</cp:lastModifiedBy>
  <cp:revision>3</cp:revision>
  <cp:lastPrinted>2020-03-05T09:29:00Z</cp:lastPrinted>
  <dcterms:created xsi:type="dcterms:W3CDTF">2023-04-05T13:27:00Z</dcterms:created>
  <dcterms:modified xsi:type="dcterms:W3CDTF">2023-04-06T08:46:00Z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</Properties>
</file>